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Г</w:t>
      </w:r>
      <w:r w:rsidRPr="00B31B73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осударственное регулирование природопользования и охраны окружающей среды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Региональные полномочия субъекта РФ государственного управления в сфере охраны окружающей среды, природопользования, обеспечения экологической безопасности, создания устойчивого использования и воспроизводства объектов животного мира, контроль за содержанием и восстановлением лесного фонда в области обеспечиваются структурными подразделениями законодательной и исполнительной власти Курской области.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Вопросами подготовки, рассмотрения и принятия нормативно-правовых актов в сфере природопользования, экологии, сохранения и использования лесного фонда и объектов животного мира, контроля их использования занимается в</w:t>
      </w:r>
      <w:r w:rsidRPr="00B31B73">
        <w:rPr>
          <w:rFonts w:ascii="Arial" w:eastAsia="Times New Roman" w:hAnsi="Arial" w:cs="Arial"/>
          <w:color w:val="020C22"/>
          <w:sz w:val="21"/>
          <w:lang w:eastAsia="ru-RU"/>
        </w:rPr>
        <w:t> </w:t>
      </w:r>
      <w:r w:rsidRPr="00B31B73">
        <w:rPr>
          <w:rFonts w:ascii="Arial" w:eastAsia="Times New Roman" w:hAnsi="Arial" w:cs="Arial"/>
          <w:b/>
          <w:bCs/>
          <w:i/>
          <w:iCs/>
          <w:color w:val="020C22"/>
          <w:sz w:val="21"/>
          <w:lang w:eastAsia="ru-RU"/>
        </w:rPr>
        <w:t>Курской областной Думе постоянный комитет по сельскому хозяйству, земельным отношениям, природопользованию и экологии 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(далее – комитет).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2008 году на заседаниях комитета рассмотрено более 150 вопросов, принято 22 нормативных акта, из них 3 закона, рассмотрено более 150 вопросов, связанных с рациональным природопользованием, улучшением использования земли, лесного фонда,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сохранениеми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воспроизводства объектов животного мира; развитием сельскохозяйственного производства.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2008 году постоянным комитетом совместно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структурными подразделениями Администрации области проведена работа по внесению изменений в областные программы в части уточнения (проведения) выполнения и финансирования мероприятий, в том числе:</w:t>
      </w:r>
    </w:p>
    <w:p w:rsidR="00B31B73" w:rsidRPr="00B31B73" w:rsidRDefault="00B31B73" w:rsidP="00B31B7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«Проведение противоэпизоотических и противопаразитарных мероприятий на территории Курской области в 2006-2010 годах»;</w:t>
      </w:r>
    </w:p>
    <w:p w:rsidR="00B31B73" w:rsidRPr="00B31B73" w:rsidRDefault="00B31B73" w:rsidP="00B31B7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«Охрана территории Курской области от карантинных объектов и других особо опасных организмов животных и птиц на 2005-2010 годы»;</w:t>
      </w:r>
    </w:p>
    <w:p w:rsidR="00B31B73" w:rsidRPr="00B31B73" w:rsidRDefault="00B31B73" w:rsidP="00B31B7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«Снижение рисков и смягчение последствий чрезвычайных ситуаций природного и техногенного характера в Курской области на 2006-2009 годы».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Рассмотрена и утверждена новая редакция областной целевой программы «Экология и природные ресурсы Курской области на 2005-2010 годы», реализация мероприятий которой позволяет повысить обеспеченность экономики области основными минерально-сырьевыми ресурсами, запасами подземных вод, осуществить ряд мер по охране и воспроизводству природных ресурсов как компонентов окружающей природной среды.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 заседаниях комитета неоднократно обсуждались вопросы реализации Лесного кодекса РФ, Законы Курской области «О порядке использования лесов на территории области» в части наиболее рационального использования лесов, их охрану и защиту, что позволило получить положительные результаты в отрасли.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b/>
          <w:bCs/>
          <w:i/>
          <w:iCs/>
          <w:color w:val="020C22"/>
          <w:sz w:val="21"/>
          <w:lang w:eastAsia="ru-RU"/>
        </w:rPr>
        <w:t>Департамент экологической безопасности и природопользования Курской области 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(далее – департамент) является отраслевым органом исполнительной власти Курской области, осуществляет функции управления и реализацию прав Курской области в сфере охраны окружающей среды и природных ресурсов, экологической безопасности и рационального природопользования, а также переданные Российской Федерацией полномочия в области водных отношений и экологической экспертизы.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Департамент осуществляет свою деятельность во взаимодействии с территориальными федеральными органами исполнительной власти, органами исполнительной власти области, органами местного самоуправления и другими организациями.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целях стабилизации экологической обстановки, обеспечения улучшения качества окружающей среды, рационального использования и охраны природных ресурсов в области департаментом реализуется областная целевая программа «Экология и природные ресурсы Курской области (2005-2010 годы)». Объем средств, предусмотренных департаменту на реализацию мероприятий Программы в 2008 году, составил 11,16 млн. руб., освоено за год 9,99 млн. рублей (90%).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Департаментом совместно с другими учреждениями и организациями в течение 2008 года велась планомерная работа по различным направлениям природопользования и обеспечения экологической безопасности.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 xml:space="preserve">В сфере </w:t>
      </w:r>
      <w:proofErr w:type="spellStart"/>
      <w:r w:rsidRPr="00B31B73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>недропользования</w:t>
      </w:r>
      <w:proofErr w:type="spellEnd"/>
      <w:r w:rsidRPr="00B31B73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> 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рамках подпрограммы «</w:t>
      </w:r>
      <w:proofErr w:type="spellStart"/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Минерально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- сырьевые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ресурсы» решались вопросы обеспечения стройиндустрии и дорожного строительства запасами песка, мела, глин, цементным сырьем, обеспечения населённых пунктов области запасами подземных питьевых вод с привлечением инвесторов, в том числе:</w:t>
      </w:r>
    </w:p>
    <w:p w:rsidR="00B31B73" w:rsidRPr="00B31B73" w:rsidRDefault="00B31B73" w:rsidP="00B31B7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ООО «Курская строительная компания» проводились подготовительные и проектные работы по строительству цементного завода на базе выявленного компанией месторождения цементного сырья (мергелей) 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Солнцевском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районе;</w:t>
      </w:r>
    </w:p>
    <w:p w:rsidR="00B31B73" w:rsidRPr="00B31B73" w:rsidRDefault="00B31B73" w:rsidP="00B31B7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объем добычи тугоплавких глин на месторождении «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Большая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Карповка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» Советского района разрабатываемого ООО « Пласт-Импульс», возрос в 3,8 раза по сравнению с 2003 г. и в 2008 г. составил 231,0 тыс. тонн. Использование тугоплавких глин для производства кирпича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Железногорском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кирпичном заводе позволило существенно улучшить качество выпускаемой продукции. Основные партии сырья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поставляэтся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на ряд керамических заводов Центра России;</w:t>
      </w:r>
    </w:p>
    <w:p w:rsidR="00B31B73" w:rsidRPr="00B31B73" w:rsidRDefault="00B31B73" w:rsidP="00B31B7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велись подготовительные работы по промышленному освоению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Секеринского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месторождения формовочных и стекольных песков 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Кореневском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районе (ООО «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Курскстеклопласт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»),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Уколовского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месторождения фосфоритов 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Золотухинском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районе (ООО «Курская фосфоритовая компания»), выполнены проекты на разработку вышеназванных месторождений;</w:t>
      </w:r>
    </w:p>
    <w:p w:rsidR="00B31B73" w:rsidRPr="00B31B73" w:rsidRDefault="00B31B73" w:rsidP="00B31B7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завершены оценочные работы на цеолитсодержащие мергели и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трепеловидные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глины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Курском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Золотухинском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овском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районах. Изученные полезные ископаемые являются природными сорбентами, многоцелевым сырьём для использования в сельском хозяйстве, промышленности, стройиндустрии, водоснабжении, экологии и медицине;</w:t>
      </w:r>
    </w:p>
    <w:p w:rsidR="00B31B73" w:rsidRPr="00B31B73" w:rsidRDefault="00B31B73" w:rsidP="00B31B7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на территории 7 районов Курской области завершены поисково-оценочные работы на нетрадиционные и другие виды строительного сырья с целью выявления участков недр, привлекательных для вложения инвестиций для производства строительных материалов. На территории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Щигровского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района по результатам проведённых работ выявлен участок недр, перспективный на цементное сырье;</w:t>
      </w:r>
    </w:p>
    <w:p w:rsidR="00B31B73" w:rsidRPr="00B31B73" w:rsidRDefault="00B31B73" w:rsidP="00B31B7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основном завершены работы по горнотехнической рекультивации отработанного карьера кирпичных глин в п. Тим. После завершения рекультивации в 2009 г. на месте карьера планируется сооружение стадиона;</w:t>
      </w:r>
    </w:p>
    <w:p w:rsidR="00B31B73" w:rsidRPr="00B31B73" w:rsidRDefault="00B31B73" w:rsidP="00B31B7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продолжался промышленный розлив минеральной лечебно-столовой воды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Халинского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месторождения минеральных подземных вод Курского района с торговой маркой «Курский Адамант».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Кроме этого за счет средств областного бюджета в 2008 г. завершены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поисковооценочные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работы по обеспечению запасами питьевой воды с. Большое Солдатское, оценены запасы 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подземных питьевых вод, подготовлены рекомендации по улучшению водоснабжения населения.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области продолжается работа по ликвидационному тампонажу, консервации недействующих артезианских скважин. В течение последних лет проведен комплекс мероприятий по учёту, инвентаризации и взятию на контроль всех неработающих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артскважин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их ремонту или тампонажу, обеспечению охраны водозаборов. Несмотря на финансовые сложности, 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Обоянском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районе была законсервирована 21 скважина, 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Глушковском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районе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затампонировано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15 скважин, 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Золотухинском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районе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затампонировано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7 скважин.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Поныровском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районе за счет средств областного бюджета выполнены мероприятия по ликвидационному тампонажу 10-ти неработающих бесхозных и заброшенных водозаборных скважин, представлявших наибольшую опасность.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Департаментом организован и проведен конкурс на право пользования участком недр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Белицкого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месторождения мела Беловского района, при этом в доход областного бюджета поступили неналоговые платежи (сбор за участие в конкурсе, разовый платеж за пользование недрами) в сумме 137,5 тыс. руб.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Департаментом проведено 6 государственных экспертиз запасов полезных ископаемых, в доход областного бюджета поступило 195 тыс. рублей.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Выдано 12 лицензий на пользование недрами для добычи общераспространенных полезных ископаемых, в доход областного бюджета поступило 92,4 тыс. рублей.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По результатам проведенного геологического мониторинга составлен информационный бюллетень о состоянии геологической среды и водных объектов на территории Курской области с целью информационного обеспечения органов управления и контроля в сфере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недропользования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охраны недр и водных объектов.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>В сфере водохозяйственных природоохранных мероприятий 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работы проводились в рамках подпрограмм «Водные ресурсы и водные объекты», «Регулирование качества окружающей среды» и областного бюджета, а также за счет субвенций и субсидий из федерального бюджета, в том числе: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продолжены работы по доочистке сточных вод городских очистных сооружений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 Дмитриева, включающие строительство сбросного коллектора и прудов отстойников (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биоплато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), освоено 0,5 млн. руб.;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разработаны рабочие проекты капитального ремонта ГТС прудов на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руч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. </w:t>
      </w:r>
      <w:proofErr w:type="spellStart"/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Клинушка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у д.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Кленная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Рыльского района, на ручье у с.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Гололобовка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Солнцевского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района, донного водоспуска Константиновского водохранилища на реке Синяк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Кореневского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района, ГТС пруда на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руч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 б/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у с. Михайловка Рыльского района, выполнена корректировка рабочего проекта «Отвод поверхностных вод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руч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Ржавец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 пос. Прямицыно Октябрьского района». Общий объем финансирования составил 1,1 млн. рублей;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выполнены работы по капитальному ремонту ГТС у с.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Тарусовка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Медвенского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района. Объем финансирования работ за счет средств областного бюджета составил 0,7 млн. рублей, за счет средств федерального бюджета в виде субсидий составил 7,3 млн. рублей;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проводились работы по капитальному ремонту ГТС на р.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Харасея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у с.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Осотское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Дмитриевского района, ГТС прудов ОГУП «Курский рыборазводный завод», ГТС пруда на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руч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.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Клинушка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у д.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Кленная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Рыльского района, ГТС у с.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Мяснянка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Мантуровского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района. Работы будут завершены в 2009 году. Общий объем софинансирования из 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областного бюджета составил 0,9 тыс. рублей, объем финансирования из федерального бюджета – 5,9 млн. рублей;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проводились подготовительные работы по расчистке русла реки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Тускарь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 Курске на участке от 9 до 11 км от устья реки. Объем софинансирования работ за счет средств областного бюджета составил 0,7 млн. рублей;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выполнены работы по проведению наблюдений за загрязнением поверхностных вод по 14 рекам области на 40 створах. Объем финансирования работ из областного бюджета составил 0,2 млн. рублей;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разработаны рабочие проекты по расчистке русел рек Кур в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. Курске,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Щигор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Щигровском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р-не;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проводились работы по расчистке русла реки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Тускарь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 Курске и русла реки Суджа в г. Суджа;</w:t>
      </w:r>
    </w:p>
    <w:p w:rsidR="00B31B73" w:rsidRPr="00B31B73" w:rsidRDefault="00B31B73" w:rsidP="00B31B7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проведено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предпаводковое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обследование рек Курской области.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Лимит субвенций из федерального бюджета в 2008 году составил 23,2 млн. рублей. В том числе переходящий остаток 2007 года – 7,56 млн. рублей.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2008 году департаментом заключено 14 договоров водопользования и выдано 23 решения о предоставлении водного объекта в пользование. Департамент, являясь администратором платежей за пользование водными объектами, обеспечил сбор и направление в федеральный бюджет платы за водопользование в размере 799,2 тыс. рублей.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Сотрудниками департамента совместно с федеральными структурами осуществлено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предпаводковое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обследование 24 гидротехнических сооружений и водозаборов.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соответствии с решением Межведомственного Совета Курской области по предметам совместного ведения от 3 июля 2007 года №110 «Об обеспечении безопасности гидротехнических сооружений, в том числе – бесхозяйных, на территории Курской области» (в редакции от 01.08.08 г.) департаментом проводилась активная работа с муниципальными образованиями по вопросу принятия бесхозяйных гидротехнических сооружений в муниципальную собственность.</w:t>
      </w:r>
      <w:proofErr w:type="gramEnd"/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соответствии с распоряжением Губернатора Курской области от 07.11.2008 года № 1116-р Управлением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Ростехнадзора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по Курской области совместно с сотрудниками департамента и представителями других заинтересованных территориальных федеральных органов исполнительной власти и органов исполнительной власти Курской области начата работа по инвентаризации гидротехнических сооружений, находящихся на территории Курской области. Количество гидротехнических сооружений, по которым была проведена в прошлом году инвентаризация, составило 223 ГТС в 24 районах области, из них 55 бесхозяйных ГТС и 35 ГТС, находящихся в неудовлетворительном состоянии.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Проводились работы по проектированию, строительству и реконструкции централизованных систем водоснабжения в населённых пунктах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Медвенского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Кореневского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Солнцевского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Мантуровского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Железногорского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Поныровского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Обоянского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Горшеченского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Рыльского и др. районов.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>В сфере охраны окружающей среды 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активизирована работа по решению проблем размещения и утилизации твердых бытовых и промышленных отходов на территории муниципальных образований.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Традиционно, ежегодно с участием глав администраций районов и муниципальных образований в рамках областного месячника образцовой чистоты и санитарного порядка и проводимой департаментом в апреле-июне акции «Дни защиты от экологической опасности» 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были выполнены работы по ликвидации несанкционированных свалок, обустройству существующих мест захоронения и по организации сбора и вывоза отходов в населенных пунктах области.</w:t>
      </w:r>
      <w:proofErr w:type="gramEnd"/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целях решения проблем утилизации твердых бытовых отходов в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 Курске победителем инвестиционного конкурса – ООО «Ресурсная фирма «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Станкоснаб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» завершено строительство первой карты второй очереди полигона ТБО площадью 2 га. Администрацией город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а и ООО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«Курская строительная компания» проводились мероприятия по созданию совместного предприятия по строительству мусоросортировочного комплекса производительностью 800 тыс. м³/год.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2008 году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комитете ЖКХ Курской области совместно с департаментом проведено совещание с участием заместителей глав администраций муниципальных районов с привлечением представителей областных комитетов по тарифам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ценам, по управлению имуществом, финансов и потенциальных инвесторов. Определены задачи и условия, необходимые для проектирования и строительства межрайонных полигонов ТБО с мусоросортировочными комплексами.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Организованы работы по проектированию и строительству межрайонного полигона ТБО с мусоросортировочным комплексом в Октябрьском районе.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 передачей объекта в государственную собственность области активизирована деятельность ОАО «Полигон промышленных отходов «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Старково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», </w:t>
      </w:r>
      <w:proofErr w:type="gram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из</w:t>
      </w:r>
      <w:proofErr w:type="gram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убыточного полигон перешел в самоокупаемый. В сравнении с 2005 годом увеличилось на 40% количество заключаемых договоров по захоронению промышленных отходов на полигоне, разработаны экономически обоснованные тарифы на их размещение, соблюдается технология размещения отходов на полигоне. Расширен спектр работ по утилизации промышленных отходов с внедрением новых технологий. В районе полигона постоянно осуществляется мониторинг окружающей среды, ведется рекультивация первой очереди полигона.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целях решения проблем в сфере охраны окружающей среды и рационального природопользования на территориях муниципальных образований в Правительстве Курской области при участии представителей территориальных федеральных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госнадзорных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органов заслушаны представители 27 районов и 4 городов области. На заслушиваниях рассматривались вопросы организации системы сбора, вывоза и утилизации ТБО и пунктов по приему вторсырья, обеспечения безопасного хранения запрещенных и непригодных к применению пестицидов, проведения ликвидационного тампонажа неработающих и не подлежащих ремонту водозаборных скважин и др.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ходе проведенных заслушиваний установлено, что наиболее успешно данные проблемы решаются в городах Курск, Железногорск и в Курчатовском, Курском, Дмитриевском,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Кореневском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Железногорском,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Обоянском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Пристенском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Щигровском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районах области.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 участием департамента в 18 районах и 4 городах области разработаны муниципальные целевые программы «Отходы» на 2008 год и на перспективу до 2010 года, реализация которых позволяет уменьшить количество образования отходов, увеличить объем использования отходов в качестве вторичного сырья, снизить негативное воздействие отходов на окружающую среду и здоровье населения.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области активизировалась работа по расширению сети пунктов сбора вторсырья через магазины потребительских обществ, на базе организаций жилищно-коммунального хозяйства, а также путем привлечения частных предпринимателей.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 xml:space="preserve">В целях обеспечения безопасного хранения запрещенных и непригодных к применению пестицидов и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агрохимикатов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департаментом совместно с главами администраций районов и муниципальных образований в качестве первоочередных мероприятий осуществлялись работы по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перезатариванию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пестицидов, из 582 тонн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перезатарено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более 100 тонн.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За счет бюджетных ассигнований в объеме 380 тыс. рублей из резервного фонда Администрации Курской области, департаментом организованы работы по вывозу с территории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Железногорского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района 6,13 тонн непригодных к применению пестицидов за пределы области для дальнейшей их утилизации специализированным предприятием.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С целью выявления и уточнения источников загрязнения нефтепродуктами почв и водных объектов департаментом осуществлена корректировка реестра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нефтезагрязненных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территорий и водных объектов Курской области, проконтролировано продолжение работ по ликвидации загрязненных нефтепродуктами участков на предприятиях и нефтебазах области, что позволило сократить площади загрязнения.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Образованный в 2002 году на базе департамента региональный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информационноаналитический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центр сбора, обработки и передачи информации по учету и контролю радиоактивных веществ и радиоактивных отходов в Курской области продолжил свою работу. Проведены проверки на 15 предприятиях области на предмет соответствия использования и условий хранений радиоактивных источников. Серьезных нарушений не выявлено.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целях осуществления государственной функции по выдаче разрешений на выброс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загрязняэщих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веществ в атмосферный воздух от стационарных источников, за год выдано 123 разрешения на выброс загрязняющих веществ.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Продолжена работа по паспортизации особо охраняемых природных территорий (ООПТ) Курской области. В рамках подпрограммы «Поддержка особо охраняемых природных территорий регионального значения» выполнены топографо-геодезические работы по межеванию и закреплению границ пяти особо охраняемых природных территорий и проведена паспортизация трех памятников природы регионального значения.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Активизирована работа по приведению в соответствие с действующим законодательством нормативной правовой базы Курской области в сфере организации и функционирования особо охраняемых природных территорий регионального значения.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рамках подпрограммы «Сохранение редких и исчезающих видов животных и растений» осуществлялись научно-исследовательские работы по ведению Красной книги Курской области, по результатам которых пополняется база данных по редким видам животных и растений, давались рекомендации по их сохранению.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2008 году департаментом организовано и проведено 19 государственных экологических экспертиз по объектам регионального уровня, из них:</w:t>
      </w:r>
    </w:p>
    <w:p w:rsidR="00B31B73" w:rsidRPr="00B31B73" w:rsidRDefault="00B31B73" w:rsidP="00B31B7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12 – по материалам обоснования лицензий на право пользование недрами для добычи общераспространенных полезных;</w:t>
      </w:r>
    </w:p>
    <w:p w:rsidR="00B31B73" w:rsidRPr="00B31B73" w:rsidRDefault="00B31B73" w:rsidP="00B31B7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2 – по материалам, обосновывающим объемы (лимиты, квоты) изъятия объектов животного мира, отнесенных к объектам охоты в сезон 2008-2009 г.г.;</w:t>
      </w:r>
    </w:p>
    <w:p w:rsidR="00B31B73" w:rsidRPr="00B31B73" w:rsidRDefault="00B31B73" w:rsidP="00B31B7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 – по материалам обоснования долгосрочной лицензии на пользование животным миром.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Для рассмотрения и вынесения решений по вопросам, поднятым в обращениях граждан, осуществлялись выезды на места с привлечением в пределах компетенции к административной ответственности должностных лиц.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Практическое решение конкретных задач в природоохранной сфере и выполнение комплекса мероприятий осуществляет областное</w:t>
      </w:r>
      <w:r w:rsidRPr="00B31B73">
        <w:rPr>
          <w:rFonts w:ascii="Arial" w:eastAsia="Times New Roman" w:hAnsi="Arial" w:cs="Arial"/>
          <w:color w:val="020C22"/>
          <w:sz w:val="21"/>
          <w:lang w:eastAsia="ru-RU"/>
        </w:rPr>
        <w:t> </w:t>
      </w:r>
      <w:r w:rsidRPr="00B31B73">
        <w:rPr>
          <w:rFonts w:ascii="Arial" w:eastAsia="Times New Roman" w:hAnsi="Arial" w:cs="Arial"/>
          <w:b/>
          <w:bCs/>
          <w:i/>
          <w:iCs/>
          <w:color w:val="020C22"/>
          <w:sz w:val="21"/>
          <w:lang w:eastAsia="ru-RU"/>
        </w:rPr>
        <w:t>государственное учреждение «Экологический центр» (далее «</w:t>
      </w:r>
      <w:proofErr w:type="spellStart"/>
      <w:r w:rsidRPr="00B31B73">
        <w:rPr>
          <w:rFonts w:ascii="Arial" w:eastAsia="Times New Roman" w:hAnsi="Arial" w:cs="Arial"/>
          <w:b/>
          <w:bCs/>
          <w:i/>
          <w:iCs/>
          <w:color w:val="020C22"/>
          <w:sz w:val="21"/>
          <w:lang w:eastAsia="ru-RU"/>
        </w:rPr>
        <w:t>Экоцентр</w:t>
      </w:r>
      <w:proofErr w:type="spellEnd"/>
      <w:r w:rsidRPr="00B31B73">
        <w:rPr>
          <w:rFonts w:ascii="Arial" w:eastAsia="Times New Roman" w:hAnsi="Arial" w:cs="Arial"/>
          <w:b/>
          <w:bCs/>
          <w:i/>
          <w:iCs/>
          <w:color w:val="020C22"/>
          <w:sz w:val="21"/>
          <w:lang w:eastAsia="ru-RU"/>
        </w:rPr>
        <w:t>»)</w:t>
      </w: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Деятельность учреждения направлена на развитие и совершенствование природоохранной деятельности, улучшение экологической обстановки на территории Курской области, обеспечение конституционных прав граждан на безопасную окружающую среду, сохранение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биоразнообразия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а также осуществление просветительской природоохранной деятельности.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2008 году «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Экоцентр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» проводил работу по подготовке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природопользователям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документов к выдаче решений о предоставлении водных объектов в пользование и договоров водопользования. Всего было рассмотрено и подготовлено материалов для выдачи 123 разрешения на выброс загрязняющих веществ в атмосферу, 14 договоров водопользования и 23 решения о предоставлении водного объекта в пользование.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Кроме этого, сотрудники «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Экоцентра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» выполняли работы для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природопользователей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по другим направлениям, в том числе: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проведение инвентаризации источников негативного воздействия на окружающую среду;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разработка проектов нормативов предельно допустимых выбросов и сбросов 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загрязняэщих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веществ в атмосферу и водные объекты;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разработка проектов нормативов образования отходов и лимитов на их размещение;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подготовка документации по формам статистической отчетности 2ТП-воздух, 2ТП-отходы;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расчет платежей за негативное воздействие на окружающую среду;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подготовка материалов обоснования лицензионной деятельности по обращению с опасными отходами;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паспортизация опасных отходов;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расчет массы загрязняющих веществ в ливнестоках и платы за загрязнение окружающей среды неорганизованным сбросом;</w:t>
      </w:r>
    </w:p>
    <w:p w:rsidR="00B31B73" w:rsidRPr="00B31B73" w:rsidRDefault="00B31B73" w:rsidP="00B31B73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подготовка документов для проекта нормативов допустимых сбросов веществ и микроорганизмов в водные объекты для водопользователей.</w:t>
      </w:r>
    </w:p>
    <w:p w:rsidR="00B31B73" w:rsidRPr="00B31B73" w:rsidRDefault="00B31B73" w:rsidP="00B31B73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Сотрудниками «</w:t>
      </w:r>
      <w:proofErr w:type="spellStart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Экоцентра</w:t>
      </w:r>
      <w:proofErr w:type="spellEnd"/>
      <w:r w:rsidRPr="00B31B73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» успешно проведена работа в составе межведомственной комиссии по инвентаризации 223 гидротехнических сооружений в 24 районах области.</w:t>
      </w:r>
    </w:p>
    <w:p w:rsidR="00B73D41" w:rsidRDefault="00B73D41"/>
    <w:sectPr w:rsidR="00B73D41" w:rsidSect="00B7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E10"/>
    <w:multiLevelType w:val="multilevel"/>
    <w:tmpl w:val="A19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B6FA8"/>
    <w:multiLevelType w:val="multilevel"/>
    <w:tmpl w:val="912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52831"/>
    <w:multiLevelType w:val="multilevel"/>
    <w:tmpl w:val="47C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65F9"/>
    <w:multiLevelType w:val="multilevel"/>
    <w:tmpl w:val="9072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9329C"/>
    <w:multiLevelType w:val="multilevel"/>
    <w:tmpl w:val="9B6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B73"/>
    <w:rsid w:val="00B31B73"/>
    <w:rsid w:val="00B7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41"/>
  </w:style>
  <w:style w:type="paragraph" w:styleId="1">
    <w:name w:val="heading 1"/>
    <w:basedOn w:val="a"/>
    <w:link w:val="10"/>
    <w:uiPriority w:val="9"/>
    <w:qFormat/>
    <w:rsid w:val="00B31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1B73"/>
  </w:style>
  <w:style w:type="character" w:styleId="a3">
    <w:name w:val="Hyperlink"/>
    <w:basedOn w:val="a0"/>
    <w:uiPriority w:val="99"/>
    <w:semiHidden/>
    <w:unhideWhenUsed/>
    <w:rsid w:val="00B31B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1B73"/>
    <w:rPr>
      <w:b/>
      <w:bCs/>
    </w:rPr>
  </w:style>
  <w:style w:type="character" w:styleId="a6">
    <w:name w:val="Emphasis"/>
    <w:basedOn w:val="a0"/>
    <w:uiPriority w:val="20"/>
    <w:qFormat/>
    <w:rsid w:val="00B31B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3128</Words>
  <Characters>17834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2020-08-17T07:47:00Z</dcterms:created>
  <dcterms:modified xsi:type="dcterms:W3CDTF">2020-08-17T07:47:00Z</dcterms:modified>
</cp:coreProperties>
</file>